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广东金融学院因公临时出国（境）管理规定</w:t>
      </w:r>
    </w:p>
    <w:p>
      <w:pPr>
        <w:rPr>
          <w:color w:val="000000"/>
          <w:szCs w:val="21"/>
        </w:rPr>
      </w:pPr>
    </w:p>
    <w:p>
      <w:pPr>
        <w:spacing w:line="499"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为进一步加强我校因公临时出国（境）的管理，促进我校对外交流工作的顺利开展，根据国家相关外事和安全法规，以“统一领导、归口管理”为原则，结合我校实际情况，制定本规定。</w:t>
      </w:r>
    </w:p>
    <w:p>
      <w:pPr>
        <w:spacing w:line="499" w:lineRule="exact"/>
        <w:ind w:firstLine="640" w:firstLineChars="200"/>
        <w:rPr>
          <w:rFonts w:hint="eastAsia" w:ascii="仿宋" w:hAnsi="仿宋" w:eastAsia="仿宋" w:cs="仿宋_GB2312"/>
          <w:color w:val="000000"/>
          <w:sz w:val="32"/>
          <w:szCs w:val="32"/>
          <w:lang w:val="en-US" w:eastAsia="zh-CN"/>
        </w:rPr>
      </w:pPr>
      <w:r>
        <w:rPr>
          <w:rFonts w:hint="eastAsia" w:ascii="仿宋" w:hAnsi="仿宋" w:eastAsia="仿宋" w:cs="仿宋_GB2312"/>
          <w:color w:val="000000"/>
          <w:sz w:val="32"/>
          <w:szCs w:val="32"/>
          <w:lang w:val="en-US" w:eastAsia="zh-CN"/>
        </w:rPr>
        <w:t xml:space="preserve"> </w:t>
      </w:r>
    </w:p>
    <w:p>
      <w:pPr>
        <w:pStyle w:val="8"/>
        <w:widowControl/>
        <w:numPr>
          <w:ilvl w:val="0"/>
          <w:numId w:val="1"/>
        </w:numPr>
        <w:spacing w:line="499" w:lineRule="exact"/>
        <w:ind w:firstLineChars="0"/>
        <w:jc w:val="left"/>
        <w:rPr>
          <w:rFonts w:ascii="仿宋" w:hAnsi="仿宋" w:eastAsia="仿宋"/>
          <w:b/>
          <w:bCs/>
          <w:color w:val="000000"/>
          <w:sz w:val="32"/>
          <w:szCs w:val="32"/>
        </w:rPr>
      </w:pPr>
      <w:r>
        <w:rPr>
          <w:rFonts w:hint="eastAsia" w:ascii="仿宋" w:hAnsi="仿宋" w:eastAsia="仿宋" w:cs="仿宋_GB2312"/>
          <w:b/>
          <w:bCs/>
          <w:color w:val="000000"/>
          <w:sz w:val="32"/>
          <w:szCs w:val="32"/>
        </w:rPr>
        <w:t>总则</w:t>
      </w:r>
    </w:p>
    <w:p>
      <w:pPr>
        <w:pStyle w:val="8"/>
        <w:widowControl/>
        <w:numPr>
          <w:ilvl w:val="0"/>
          <w:numId w:val="2"/>
        </w:numPr>
        <w:spacing w:line="499" w:lineRule="exact"/>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宗旨：促进我校国际交流与合作，促进师生因公出国（境）工作正常运转，更好为教学、科研、管理服务。</w:t>
      </w:r>
    </w:p>
    <w:p>
      <w:pPr>
        <w:pStyle w:val="8"/>
        <w:widowControl/>
        <w:numPr>
          <w:ilvl w:val="0"/>
          <w:numId w:val="2"/>
        </w:numPr>
        <w:spacing w:line="499" w:lineRule="exact"/>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归口管理部门：国际交流与合作处/港澳台事务办公室是学校因公临时出国（境）的归口管理部门。</w:t>
      </w:r>
    </w:p>
    <w:p>
      <w:pPr>
        <w:pStyle w:val="8"/>
        <w:widowControl/>
        <w:numPr>
          <w:ilvl w:val="0"/>
          <w:numId w:val="2"/>
        </w:numPr>
        <w:spacing w:line="499" w:lineRule="exact"/>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 xml:space="preserve"> 适用范围：</w:t>
      </w:r>
    </w:p>
    <w:p>
      <w:pPr>
        <w:pStyle w:val="8"/>
        <w:widowControl/>
        <w:numPr>
          <w:ilvl w:val="0"/>
          <w:numId w:val="3"/>
        </w:numPr>
        <w:spacing w:line="499" w:lineRule="exact"/>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教职工短期出国参加学术会议、访问考察、合作研究及讲学等。</w:t>
      </w:r>
    </w:p>
    <w:p>
      <w:pPr>
        <w:pStyle w:val="8"/>
        <w:widowControl/>
        <w:numPr>
          <w:ilvl w:val="0"/>
          <w:numId w:val="3"/>
        </w:numPr>
        <w:spacing w:line="499" w:lineRule="exact"/>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教职工、在校学生短期因公赴香港、澳门、台湾参加学术会议、访问考察、合作研究及参加竞赛等。</w:t>
      </w:r>
    </w:p>
    <w:p>
      <w:pPr>
        <w:spacing w:line="499" w:lineRule="exact"/>
        <w:ind w:firstLine="800" w:firstLineChars="250"/>
        <w:rPr>
          <w:rFonts w:ascii="仿宋" w:hAnsi="仿宋" w:eastAsia="仿宋" w:cs="仿宋_GB2312"/>
          <w:color w:val="000000"/>
          <w:sz w:val="32"/>
          <w:szCs w:val="32"/>
        </w:rPr>
      </w:pPr>
    </w:p>
    <w:p>
      <w:pPr>
        <w:pStyle w:val="8"/>
        <w:widowControl/>
        <w:numPr>
          <w:numId w:val="0"/>
        </w:numPr>
        <w:spacing w:line="360" w:lineRule="auto"/>
        <w:jc w:val="center"/>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第二章 因公临时出国（境）的管理原则和要求</w:t>
      </w:r>
    </w:p>
    <w:p>
      <w:pPr>
        <w:pStyle w:val="8"/>
        <w:widowControl/>
        <w:numPr>
          <w:ilvl w:val="0"/>
          <w:numId w:val="2"/>
        </w:numPr>
        <w:spacing w:line="360" w:lineRule="auto"/>
        <w:ind w:firstLineChars="0"/>
        <w:rPr>
          <w:rFonts w:hint="eastAsia" w:ascii="仿宋" w:hAnsi="仿宋" w:eastAsia="仿宋" w:cs="仿宋_GB2312"/>
          <w:color w:val="000000"/>
          <w:sz w:val="32"/>
          <w:szCs w:val="32"/>
        </w:rPr>
      </w:pPr>
      <w:r>
        <w:rPr>
          <w:rFonts w:hint="eastAsia" w:ascii="仿宋" w:hAnsi="仿宋" w:eastAsia="仿宋" w:cs="仿宋_GB2312"/>
          <w:color w:val="000000"/>
          <w:sz w:val="32"/>
          <w:szCs w:val="32"/>
        </w:rPr>
        <w:t>学校教职工因公临时出国（境）须附合涉外管理规定并严格遵守外事纪律及要求。</w:t>
      </w:r>
    </w:p>
    <w:p>
      <w:pPr>
        <w:pStyle w:val="8"/>
        <w:widowControl/>
        <w:numPr>
          <w:ilvl w:val="0"/>
          <w:numId w:val="2"/>
        </w:numPr>
        <w:spacing w:line="360" w:lineRule="auto"/>
        <w:ind w:firstLineChars="0"/>
        <w:rPr>
          <w:rFonts w:ascii="仿宋" w:hAnsi="仿宋" w:eastAsia="仿宋"/>
          <w:color w:val="000000"/>
          <w:sz w:val="32"/>
          <w:szCs w:val="32"/>
        </w:rPr>
      </w:pPr>
      <w:r>
        <w:rPr>
          <w:rFonts w:hint="eastAsia" w:ascii="仿宋" w:hAnsi="仿宋" w:eastAsia="仿宋" w:cs="仿宋_GB2312"/>
          <w:color w:val="000000"/>
          <w:sz w:val="32"/>
          <w:szCs w:val="32"/>
        </w:rPr>
        <w:t>因公临时出国（境）必须有明确的公务目的和实质内容，组团人员要少而精，必须按批准的方案进行，原则上不得绕道，不得增加出访国家和地区，不得自行延长在外停留时间，不得改变身份。</w:t>
      </w:r>
    </w:p>
    <w:p>
      <w:pPr>
        <w:pStyle w:val="8"/>
        <w:widowControl/>
        <w:numPr>
          <w:ilvl w:val="0"/>
          <w:numId w:val="2"/>
        </w:numPr>
        <w:spacing w:line="360" w:lineRule="auto"/>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同一部门的主要领导原则上不得同团出访或同时分别率团出访同一国家或地区。</w:t>
      </w:r>
    </w:p>
    <w:p>
      <w:pPr>
        <w:pStyle w:val="8"/>
        <w:widowControl/>
        <w:numPr>
          <w:ilvl w:val="0"/>
          <w:numId w:val="2"/>
        </w:numPr>
        <w:spacing w:line="360" w:lineRule="auto"/>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凡可由较低级别人员完成的任务，原则上不得派较高级别人员出访；凡可由专业人员完成的任务，原则上不得派非专业人员出访。</w:t>
      </w:r>
    </w:p>
    <w:p>
      <w:pPr>
        <w:pStyle w:val="8"/>
        <w:widowControl/>
        <w:numPr>
          <w:ilvl w:val="0"/>
          <w:numId w:val="2"/>
        </w:numPr>
        <w:spacing w:line="360" w:lineRule="auto"/>
        <w:ind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若外单位组团邀请我校人员参加出访，组团单位必须首先征求学校意见，普通干部由各学院、部门提出意见，处级干部由分管校领导提出意见，最后按照因公临时出国（境）程序办理相关手续。</w:t>
      </w:r>
    </w:p>
    <w:p>
      <w:pPr>
        <w:spacing w:line="499" w:lineRule="exact"/>
        <w:rPr>
          <w:rFonts w:ascii="仿宋" w:hAnsi="仿宋" w:eastAsia="仿宋" w:cs="仿宋_GB2312"/>
          <w:color w:val="000000"/>
          <w:sz w:val="32"/>
          <w:szCs w:val="32"/>
        </w:rPr>
      </w:pPr>
    </w:p>
    <w:p>
      <w:pPr>
        <w:pStyle w:val="8"/>
        <w:widowControl/>
        <w:numPr>
          <w:numId w:val="0"/>
        </w:numPr>
        <w:spacing w:line="499" w:lineRule="exact"/>
        <w:ind w:left="1800" w:leftChars="0"/>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lang w:eastAsia="zh-CN"/>
        </w:rPr>
        <w:t>第三章</w:t>
      </w:r>
      <w:r>
        <w:rPr>
          <w:rFonts w:hint="eastAsia" w:ascii="仿宋" w:hAnsi="仿宋" w:eastAsia="仿宋" w:cs="仿宋_GB2312"/>
          <w:b/>
          <w:bCs/>
          <w:color w:val="000000"/>
          <w:sz w:val="32"/>
          <w:szCs w:val="32"/>
          <w:lang w:val="en-US" w:eastAsia="zh-CN"/>
        </w:rPr>
        <w:t xml:space="preserve"> </w:t>
      </w:r>
      <w:r>
        <w:rPr>
          <w:rFonts w:hint="eastAsia" w:ascii="仿宋" w:hAnsi="仿宋" w:eastAsia="仿宋" w:cs="仿宋_GB2312"/>
          <w:b/>
          <w:bCs/>
          <w:color w:val="000000"/>
          <w:sz w:val="32"/>
          <w:szCs w:val="32"/>
        </w:rPr>
        <w:t>因公出国（境）管理</w:t>
      </w:r>
    </w:p>
    <w:p>
      <w:pPr>
        <w:spacing w:line="499" w:lineRule="exact"/>
        <w:ind w:firstLine="643" w:firstLineChars="200"/>
        <w:rPr>
          <w:rFonts w:ascii="仿宋" w:hAnsi="仿宋" w:eastAsia="仿宋" w:cs="仿宋_GB2312"/>
          <w:color w:val="000000"/>
          <w:sz w:val="32"/>
          <w:szCs w:val="32"/>
        </w:rPr>
      </w:pPr>
      <w:r>
        <w:rPr>
          <w:rFonts w:hint="eastAsia" w:ascii="仿宋" w:hAnsi="仿宋" w:eastAsia="仿宋" w:cs="仿宋_GB2312"/>
          <w:b/>
          <w:bCs/>
          <w:sz w:val="32"/>
          <w:szCs w:val="32"/>
        </w:rPr>
        <w:t>第九条</w:t>
      </w:r>
      <w:r>
        <w:rPr>
          <w:rFonts w:hint="eastAsia" w:ascii="仿宋" w:hAnsi="仿宋" w:eastAsia="仿宋" w:cs="仿宋_GB2312"/>
          <w:sz w:val="32"/>
          <w:szCs w:val="32"/>
        </w:rPr>
        <w:t xml:space="preserve">  出国（境）类别</w:t>
      </w:r>
    </w:p>
    <w:p>
      <w:pPr>
        <w:spacing w:line="499"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w:t>
      </w:r>
      <w:r>
        <w:rPr>
          <w:rFonts w:hint="eastAsia" w:ascii="仿宋" w:hAnsi="仿宋" w:eastAsia="仿宋" w:cs="仿宋_GB2312"/>
          <w:color w:val="000000"/>
          <w:sz w:val="32"/>
          <w:szCs w:val="32"/>
        </w:rPr>
        <w:t>国家（省）公派包括国家（省）提供全额资助、享受政府间互惠奖学金或国外奖学金、国家（省）提供部分资助、外方承担全额（或部分）资助等统一由国家（省）选派的出国（境）形式。</w:t>
      </w:r>
    </w:p>
    <w:p>
      <w:pPr>
        <w:spacing w:line="499"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w:t>
      </w:r>
      <w:r>
        <w:rPr>
          <w:rFonts w:ascii="仿宋" w:hAnsi="仿宋" w:eastAsia="仿宋"/>
          <w:color w:val="000000"/>
          <w:sz w:val="32"/>
          <w:szCs w:val="32"/>
        </w:rPr>
        <w:t xml:space="preserve"> </w:t>
      </w:r>
      <w:r>
        <w:rPr>
          <w:rFonts w:hint="eastAsia" w:ascii="仿宋" w:hAnsi="仿宋" w:eastAsia="仿宋" w:cs="仿宋_GB2312"/>
          <w:color w:val="000000"/>
          <w:sz w:val="32"/>
          <w:szCs w:val="32"/>
        </w:rPr>
        <w:t>学校公派包括学校资助、外方承担全额（或部分）资助等形式，由学校按需选派的校际交流、研修、访学、留学攻读学位、博士后研究、参加学术会议等统一由学校选派的或由个人自行联系并经学校同意派出的出国（境）形式。</w:t>
      </w:r>
    </w:p>
    <w:p>
      <w:pPr>
        <w:spacing w:line="499" w:lineRule="exact"/>
        <w:ind w:firstLine="640" w:firstLineChars="200"/>
        <w:rPr>
          <w:rFonts w:ascii="仿宋" w:hAnsi="仿宋" w:eastAsia="仿宋" w:cs="仿宋_GB2312"/>
          <w:b/>
          <w:color w:val="000000"/>
          <w:sz w:val="32"/>
          <w:szCs w:val="32"/>
        </w:rPr>
      </w:pPr>
      <w:r>
        <w:rPr>
          <w:rFonts w:hint="eastAsia" w:ascii="仿宋" w:hAnsi="仿宋" w:eastAsia="仿宋"/>
          <w:color w:val="000000"/>
          <w:sz w:val="32"/>
          <w:szCs w:val="32"/>
        </w:rPr>
        <w:t>（三）</w:t>
      </w:r>
      <w:r>
        <w:rPr>
          <w:rFonts w:hint="eastAsia" w:ascii="仿宋" w:hAnsi="仿宋" w:eastAsia="仿宋" w:cs="仿宋_GB2312"/>
          <w:color w:val="000000"/>
          <w:sz w:val="32"/>
          <w:szCs w:val="32"/>
        </w:rPr>
        <w:t>学校因管理需要选派教职工赴国（境）外交流学习等形式。</w:t>
      </w:r>
    </w:p>
    <w:p>
      <w:pPr>
        <w:spacing w:line="499" w:lineRule="exact"/>
        <w:ind w:firstLine="643" w:firstLineChars="200"/>
        <w:rPr>
          <w:rFonts w:hint="eastAsia" w:ascii="仿宋" w:hAnsi="仿宋" w:eastAsia="仿宋" w:cs="仿宋_GB2312"/>
          <w:sz w:val="32"/>
          <w:szCs w:val="32"/>
        </w:rPr>
      </w:pPr>
      <w:r>
        <w:rPr>
          <w:rFonts w:hint="eastAsia" w:ascii="仿宋" w:hAnsi="仿宋" w:eastAsia="仿宋" w:cs="仿宋_GB2312"/>
          <w:b/>
          <w:bCs/>
          <w:sz w:val="32"/>
          <w:szCs w:val="32"/>
        </w:rPr>
        <w:t>第十条</w:t>
      </w:r>
      <w:r>
        <w:rPr>
          <w:rFonts w:hint="eastAsia" w:ascii="仿宋" w:hAnsi="仿宋" w:eastAsia="仿宋" w:cs="仿宋_GB2312"/>
          <w:sz w:val="32"/>
          <w:szCs w:val="32"/>
        </w:rPr>
        <w:t xml:space="preserve">  出国（境）前准备</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（一）出国（境）人员行前应接受爱国主义、外事纪律、安全保密等教育。</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（二）出国（境）访学研修人员出行前须和学校人事处签订协议书，明确服务期限及违约责任。</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（三）出国（境）人员出行前须和国际交流与合作处签订因公出国（境）承诺书。</w:t>
      </w:r>
    </w:p>
    <w:p>
      <w:pPr>
        <w:spacing w:line="499" w:lineRule="exact"/>
        <w:ind w:firstLine="643" w:firstLineChars="200"/>
        <w:rPr>
          <w:rFonts w:ascii="仿宋" w:hAnsi="仿宋" w:eastAsia="仿宋"/>
          <w:b/>
          <w:color w:val="000000"/>
          <w:sz w:val="32"/>
          <w:szCs w:val="32"/>
        </w:rPr>
      </w:pPr>
      <w:r>
        <w:rPr>
          <w:rFonts w:hint="eastAsia" w:ascii="仿宋" w:hAnsi="仿宋" w:eastAsia="仿宋" w:cs="仿宋_GB2312"/>
          <w:b/>
          <w:color w:val="000000"/>
          <w:sz w:val="32"/>
          <w:szCs w:val="32"/>
        </w:rPr>
        <w:t xml:space="preserve">第十一条  </w:t>
      </w:r>
      <w:r>
        <w:rPr>
          <w:rFonts w:hint="eastAsia" w:ascii="仿宋" w:hAnsi="仿宋" w:eastAsia="仿宋" w:cs="仿宋_GB2312"/>
          <w:sz w:val="32"/>
          <w:szCs w:val="32"/>
        </w:rPr>
        <w:t>出国（境）期间管理</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（一）在国（境）外期间，出国（境）人员要与所在部门、单位保持联系。</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（二）出国（境）人员必须按照出国（境）计划要求执行，一般不得改变出国（境）计划、国别、身份，不得延长出国（境）期限，确需延长期限者，应提前3个月提出申请，报学校审批，延长期限最长不得超过</w:t>
      </w:r>
      <w:r>
        <w:rPr>
          <w:rFonts w:hint="eastAsia" w:ascii="仿宋" w:hAnsi="仿宋" w:eastAsia="仿宋"/>
          <w:color w:val="000000"/>
          <w:sz w:val="32"/>
          <w:szCs w:val="32"/>
        </w:rPr>
        <w:t>半</w:t>
      </w:r>
      <w:r>
        <w:rPr>
          <w:rFonts w:hint="eastAsia" w:ascii="仿宋" w:hAnsi="仿宋" w:eastAsia="仿宋" w:cs="仿宋_GB2312"/>
          <w:color w:val="000000"/>
          <w:sz w:val="32"/>
          <w:szCs w:val="32"/>
        </w:rPr>
        <w:t>年，一般只能申请一次。短期出国（境）一般不得延期，合作研究、讲学等派出项目如有特殊情况，经本人申请，学校审批后，方可办理延期手续。</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（三）未经学校允许滞留超过30天不归者，学校将追究其经济责任并按自动离职处理。</w:t>
      </w:r>
    </w:p>
    <w:p>
      <w:pPr>
        <w:spacing w:line="499" w:lineRule="exact"/>
        <w:ind w:firstLine="643" w:firstLineChars="200"/>
        <w:rPr>
          <w:rFonts w:hint="eastAsia" w:ascii="仿宋" w:hAnsi="仿宋" w:eastAsia="仿宋" w:cs="仿宋_GB2312"/>
          <w:sz w:val="32"/>
          <w:szCs w:val="32"/>
        </w:rPr>
      </w:pPr>
      <w:r>
        <w:rPr>
          <w:rFonts w:hint="eastAsia" w:ascii="仿宋" w:hAnsi="仿宋" w:eastAsia="仿宋" w:cs="仿宋_GB2312"/>
          <w:b/>
          <w:color w:val="000000"/>
          <w:sz w:val="32"/>
          <w:szCs w:val="32"/>
        </w:rPr>
        <w:t xml:space="preserve">第十二条  </w:t>
      </w:r>
      <w:r>
        <w:rPr>
          <w:rFonts w:hint="eastAsia" w:ascii="仿宋" w:hAnsi="仿宋" w:eastAsia="仿宋" w:cs="仿宋_GB2312"/>
          <w:sz w:val="32"/>
          <w:szCs w:val="32"/>
        </w:rPr>
        <w:t>返校后管理</w:t>
      </w:r>
    </w:p>
    <w:p>
      <w:pPr>
        <w:spacing w:line="499" w:lineRule="exact"/>
        <w:ind w:firstLine="640" w:firstLineChars="200"/>
        <w:rPr>
          <w:rFonts w:ascii="仿宋" w:hAnsi="仿宋" w:eastAsia="仿宋"/>
          <w:color w:val="000000"/>
          <w:sz w:val="32"/>
          <w:szCs w:val="32"/>
        </w:rPr>
      </w:pPr>
      <w:r>
        <w:rPr>
          <w:rFonts w:hint="eastAsia" w:ascii="仿宋" w:hAnsi="仿宋" w:eastAsia="仿宋" w:cs="仿宋_GB2312"/>
          <w:color w:val="000000"/>
          <w:sz w:val="32"/>
          <w:szCs w:val="32"/>
        </w:rPr>
        <w:t>（一）</w:t>
      </w:r>
      <w:r>
        <w:rPr>
          <w:rFonts w:hint="eastAsia" w:ascii="仿宋" w:hAnsi="仿宋" w:eastAsia="仿宋" w:cs="仿宋_GB2312"/>
          <w:color w:val="000000"/>
          <w:spacing w:val="-2"/>
          <w:sz w:val="32"/>
          <w:szCs w:val="32"/>
        </w:rPr>
        <w:t>出国（境）人员须在回国后</w:t>
      </w:r>
      <w:r>
        <w:rPr>
          <w:rFonts w:ascii="仿宋" w:hAnsi="仿宋" w:eastAsia="仿宋"/>
          <w:color w:val="000000"/>
          <w:spacing w:val="-2"/>
          <w:sz w:val="32"/>
          <w:szCs w:val="32"/>
        </w:rPr>
        <w:t>3</w:t>
      </w:r>
      <w:r>
        <w:rPr>
          <w:rFonts w:hint="eastAsia" w:ascii="仿宋" w:hAnsi="仿宋" w:eastAsia="仿宋" w:cs="仿宋_GB2312"/>
          <w:color w:val="000000"/>
          <w:spacing w:val="-2"/>
          <w:sz w:val="32"/>
          <w:szCs w:val="32"/>
        </w:rPr>
        <w:t>个工作日内将因公出国（境）证照交回国际交流与合作处。</w:t>
      </w:r>
    </w:p>
    <w:p>
      <w:pPr>
        <w:spacing w:line="499" w:lineRule="exact"/>
        <w:ind w:firstLine="465"/>
        <w:rPr>
          <w:rFonts w:ascii="仿宋" w:hAnsi="仿宋" w:eastAsia="仿宋" w:cs="仿宋_GB2312"/>
          <w:color w:val="000000"/>
          <w:sz w:val="32"/>
          <w:szCs w:val="32"/>
        </w:rPr>
      </w:pPr>
      <w:r>
        <w:rPr>
          <w:rFonts w:hint="eastAsia" w:ascii="仿宋" w:hAnsi="仿宋" w:eastAsia="仿宋" w:cs="仿宋_GB2312"/>
          <w:color w:val="000000"/>
          <w:sz w:val="32"/>
          <w:szCs w:val="32"/>
        </w:rPr>
        <w:t>（二）赴国（境）外研修、访学、参加学术会议等人员返校后</w:t>
      </w:r>
      <w:r>
        <w:rPr>
          <w:rFonts w:ascii="仿宋" w:hAnsi="仿宋" w:eastAsia="仿宋"/>
          <w:color w:val="000000"/>
          <w:sz w:val="32"/>
          <w:szCs w:val="32"/>
        </w:rPr>
        <w:t>2</w:t>
      </w:r>
      <w:r>
        <w:rPr>
          <w:rFonts w:hint="eastAsia" w:ascii="仿宋" w:hAnsi="仿宋" w:eastAsia="仿宋" w:cs="仿宋_GB2312"/>
          <w:color w:val="000000"/>
          <w:sz w:val="32"/>
          <w:szCs w:val="32"/>
        </w:rPr>
        <w:t>周内须向本部门及国际交流与合作处、人事处提交书面的出国总结、科研成果报告或学位证明等材料。</w:t>
      </w:r>
    </w:p>
    <w:p>
      <w:pPr>
        <w:spacing w:line="499" w:lineRule="exact"/>
        <w:rPr>
          <w:rFonts w:ascii="仿宋" w:hAnsi="仿宋" w:eastAsia="仿宋" w:cs="仿宋_GB2312"/>
          <w:color w:val="000000"/>
          <w:sz w:val="32"/>
          <w:szCs w:val="32"/>
        </w:rPr>
      </w:pPr>
    </w:p>
    <w:p>
      <w:pPr>
        <w:pStyle w:val="8"/>
        <w:widowControl/>
        <w:numPr>
          <w:numId w:val="0"/>
        </w:numPr>
        <w:spacing w:line="360" w:lineRule="auto"/>
        <w:ind w:left="1800" w:leftChars="0"/>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第四章  出国（境）报批办理程序及备案规定</w:t>
      </w:r>
    </w:p>
    <w:p>
      <w:pPr>
        <w:spacing w:line="360" w:lineRule="auto"/>
        <w:ind w:firstLine="643" w:firstLineChars="200"/>
        <w:rPr>
          <w:rFonts w:ascii="仿宋" w:hAnsi="仿宋" w:eastAsia="仿宋"/>
          <w:b/>
          <w:color w:val="000000"/>
          <w:sz w:val="32"/>
          <w:szCs w:val="32"/>
        </w:rPr>
      </w:pPr>
      <w:r>
        <w:rPr>
          <w:rFonts w:hint="eastAsia" w:ascii="仿宋" w:hAnsi="仿宋" w:eastAsia="仿宋" w:cs="仿宋_GB2312"/>
          <w:b/>
          <w:color w:val="000000"/>
          <w:sz w:val="32"/>
          <w:szCs w:val="32"/>
        </w:rPr>
        <w:t xml:space="preserve">第十三条  </w:t>
      </w:r>
      <w:r>
        <w:rPr>
          <w:rFonts w:hint="eastAsia" w:ascii="仿宋" w:hAnsi="仿宋" w:eastAsia="仿宋" w:cs="仿宋_GB2312"/>
          <w:sz w:val="32"/>
          <w:szCs w:val="32"/>
        </w:rPr>
        <w:t>出国（境）报批办理程序</w:t>
      </w:r>
    </w:p>
    <w:p>
      <w:pPr>
        <w:spacing w:line="360" w:lineRule="auto"/>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因公临时出国（境）具体办理程序详见《广东金融学院因公临时出国（境）申报程序》（见附件）。</w:t>
      </w:r>
    </w:p>
    <w:p>
      <w:pPr>
        <w:spacing w:line="360" w:lineRule="auto"/>
        <w:ind w:firstLine="643" w:firstLineChars="200"/>
        <w:rPr>
          <w:rFonts w:ascii="仿宋" w:hAnsi="仿宋" w:eastAsia="仿宋"/>
          <w:b/>
          <w:color w:val="000000"/>
          <w:sz w:val="32"/>
          <w:szCs w:val="32"/>
        </w:rPr>
      </w:pPr>
      <w:r>
        <w:rPr>
          <w:rFonts w:hint="eastAsia" w:ascii="仿宋" w:hAnsi="仿宋" w:eastAsia="仿宋" w:cs="仿宋_GB2312"/>
          <w:b/>
          <w:color w:val="000000"/>
          <w:sz w:val="32"/>
          <w:szCs w:val="32"/>
        </w:rPr>
        <w:t xml:space="preserve">第十四条  </w:t>
      </w:r>
      <w:r>
        <w:rPr>
          <w:rFonts w:hint="eastAsia" w:ascii="仿宋" w:hAnsi="仿宋" w:eastAsia="仿宋" w:cs="仿宋_GB2312"/>
          <w:sz w:val="32"/>
          <w:szCs w:val="32"/>
        </w:rPr>
        <w:t>出国（境）备案规定</w:t>
      </w:r>
    </w:p>
    <w:p>
      <w:pPr>
        <w:spacing w:line="360" w:lineRule="auto"/>
        <w:ind w:firstLine="640" w:firstLineChars="200"/>
        <w:rPr>
          <w:rFonts w:hint="eastAsia" w:ascii="仿宋" w:hAnsi="仿宋" w:eastAsia="仿宋" w:cs="仿宋_GB2312"/>
          <w:color w:val="000000"/>
          <w:sz w:val="32"/>
          <w:szCs w:val="32"/>
        </w:rPr>
      </w:pPr>
      <w:r>
        <w:rPr>
          <w:rFonts w:hint="eastAsia" w:ascii="仿宋" w:hAnsi="仿宋" w:eastAsia="仿宋" w:cs="仿宋_GB2312"/>
          <w:color w:val="000000"/>
          <w:sz w:val="32"/>
          <w:szCs w:val="32"/>
        </w:rPr>
        <w:t>申请人填写《广东金融学院教职工因公出国（境）外事备案表》（附表二），所在部门、单位负责人签署意见，报送国际交流与合作处备案审核。</w:t>
      </w:r>
    </w:p>
    <w:p>
      <w:pPr>
        <w:spacing w:line="499" w:lineRule="exact"/>
        <w:ind w:firstLine="640" w:firstLineChars="200"/>
        <w:rPr>
          <w:rFonts w:hint="eastAsia" w:ascii="仿宋" w:hAnsi="仿宋" w:eastAsia="仿宋" w:cs="仿宋_GB2312"/>
          <w:color w:val="000000"/>
          <w:sz w:val="32"/>
          <w:szCs w:val="32"/>
        </w:rPr>
      </w:pPr>
    </w:p>
    <w:p>
      <w:pPr>
        <w:pStyle w:val="8"/>
        <w:widowControl/>
        <w:numPr>
          <w:ilvl w:val="0"/>
          <w:numId w:val="4"/>
        </w:numPr>
        <w:spacing w:line="360" w:lineRule="auto"/>
        <w:ind w:firstLineChars="0"/>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外事纪律</w:t>
      </w:r>
    </w:p>
    <w:p>
      <w:pPr>
        <w:pStyle w:val="8"/>
        <w:widowControl/>
        <w:spacing w:line="360" w:lineRule="auto"/>
        <w:ind w:firstLine="643"/>
        <w:rPr>
          <w:rFonts w:ascii="仿宋" w:hAnsi="仿宋" w:eastAsia="仿宋" w:cs="仿宋_GB2312"/>
          <w:color w:val="000000"/>
          <w:sz w:val="32"/>
          <w:szCs w:val="32"/>
        </w:rPr>
      </w:pPr>
      <w:r>
        <w:rPr>
          <w:rFonts w:hint="eastAsia" w:ascii="仿宋" w:hAnsi="仿宋" w:eastAsia="仿宋" w:cs="仿宋_GB2312"/>
          <w:b/>
          <w:color w:val="000000"/>
          <w:sz w:val="32"/>
          <w:szCs w:val="32"/>
        </w:rPr>
        <w:t>第十五条</w:t>
      </w:r>
      <w:r>
        <w:rPr>
          <w:rFonts w:hint="eastAsia" w:ascii="仿宋" w:hAnsi="仿宋" w:eastAsia="仿宋" w:cs="仿宋_GB2312"/>
          <w:color w:val="000000"/>
          <w:sz w:val="32"/>
          <w:szCs w:val="32"/>
        </w:rPr>
        <w:t xml:space="preserve"> 因公出国（境）人员应维护国家利益和学校利益，不做有损国家和学校声誉的事情。</w:t>
      </w:r>
    </w:p>
    <w:p>
      <w:pPr>
        <w:pStyle w:val="8"/>
        <w:widowControl/>
        <w:spacing w:line="360" w:lineRule="auto"/>
        <w:ind w:left="465" w:firstLine="321" w:firstLineChars="10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第十六条</w:t>
      </w:r>
      <w:r>
        <w:rPr>
          <w:rFonts w:hint="eastAsia" w:ascii="仿宋" w:hAnsi="仿宋" w:eastAsia="仿宋" w:cs="仿宋_GB2312"/>
          <w:color w:val="000000"/>
          <w:sz w:val="32"/>
          <w:szCs w:val="32"/>
        </w:rPr>
        <w:t xml:space="preserve"> 因公出国（境）人员在学术交流及个人对外交</w:t>
      </w:r>
    </w:p>
    <w:p>
      <w:pPr>
        <w:pStyle w:val="8"/>
        <w:widowControl/>
        <w:spacing w:line="360" w:lineRule="auto"/>
        <w:ind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往中，不得涉及国家政治、军事、经济和科技秘密。凡是教学、科研、生产中有密级的资料，未经保密主管部门的批准，不得带（寄）往国（境）外，维护学校的知识产权。</w:t>
      </w:r>
    </w:p>
    <w:p>
      <w:pPr>
        <w:pStyle w:val="8"/>
        <w:widowControl/>
        <w:spacing w:line="360" w:lineRule="auto"/>
        <w:ind w:left="465" w:firstLine="0" w:firstLineChars="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第十七条</w:t>
      </w:r>
      <w:r>
        <w:rPr>
          <w:rFonts w:hint="eastAsia" w:ascii="仿宋" w:hAnsi="仿宋" w:eastAsia="仿宋" w:cs="仿宋_GB2312"/>
          <w:color w:val="000000"/>
          <w:sz w:val="32"/>
          <w:szCs w:val="32"/>
        </w:rPr>
        <w:t xml:space="preserve"> 因公出国（境）人员及经办人员应诚实守信。</w:t>
      </w:r>
    </w:p>
    <w:p>
      <w:pPr>
        <w:pStyle w:val="8"/>
        <w:widowControl/>
        <w:spacing w:line="360" w:lineRule="auto"/>
        <w:ind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在办理相关手续过程中，若发现弄虚作假，学校将及时查处，情节严重者按国家有关规定处理。对违规违纪的因公出国（境）人员，学校在一年内不再受理其因公出国（境）申请。</w:t>
      </w:r>
    </w:p>
    <w:p>
      <w:pPr>
        <w:pStyle w:val="8"/>
        <w:widowControl/>
        <w:spacing w:line="360" w:lineRule="auto"/>
        <w:ind w:left="465" w:firstLine="0" w:firstLineChars="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第十八条</w:t>
      </w:r>
      <w:r>
        <w:rPr>
          <w:rFonts w:hint="eastAsia" w:ascii="仿宋" w:hAnsi="仿宋" w:eastAsia="仿宋" w:cs="仿宋_GB2312"/>
          <w:color w:val="000000"/>
          <w:sz w:val="32"/>
          <w:szCs w:val="32"/>
        </w:rPr>
        <w:t xml:space="preserve"> 持因公护照或因公通行证出访者，完成出访任</w:t>
      </w:r>
    </w:p>
    <w:p>
      <w:pPr>
        <w:pStyle w:val="8"/>
        <w:widowControl/>
        <w:spacing w:line="360" w:lineRule="auto"/>
        <w:ind w:firstLine="0" w:firstLineChars="0"/>
        <w:rPr>
          <w:rFonts w:ascii="仿宋" w:hAnsi="仿宋" w:eastAsia="仿宋" w:cs="仿宋_GB2312"/>
          <w:color w:val="000000"/>
          <w:sz w:val="32"/>
          <w:szCs w:val="32"/>
        </w:rPr>
      </w:pPr>
      <w:r>
        <w:rPr>
          <w:rFonts w:hint="eastAsia" w:ascii="仿宋" w:hAnsi="仿宋" w:eastAsia="仿宋" w:cs="仿宋_GB2312"/>
          <w:color w:val="000000"/>
          <w:sz w:val="32"/>
          <w:szCs w:val="32"/>
        </w:rPr>
        <w:t>务后，原则上在一周内交回证照。若不及时交回证照而影响下一次出访，责任由出访人员承担。</w:t>
      </w:r>
    </w:p>
    <w:p>
      <w:pPr>
        <w:pStyle w:val="8"/>
        <w:widowControl/>
        <w:numPr>
          <w:ilvl w:val="0"/>
          <w:numId w:val="4"/>
        </w:numPr>
        <w:spacing w:line="360" w:lineRule="auto"/>
        <w:ind w:firstLineChars="0"/>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其他</w:t>
      </w:r>
    </w:p>
    <w:p>
      <w:pPr>
        <w:spacing w:line="360" w:lineRule="auto"/>
        <w:ind w:firstLine="643" w:firstLineChars="200"/>
        <w:rPr>
          <w:rFonts w:ascii="仿宋" w:hAnsi="仿宋" w:eastAsia="仿宋" w:cs="仿宋_GB2312"/>
          <w:color w:val="000000"/>
          <w:sz w:val="32"/>
          <w:szCs w:val="32"/>
        </w:rPr>
      </w:pPr>
      <w:r>
        <w:rPr>
          <w:rFonts w:hint="eastAsia" w:ascii="仿宋" w:hAnsi="仿宋" w:eastAsia="仿宋" w:cs="仿宋_GB2312"/>
          <w:b/>
          <w:color w:val="000000"/>
          <w:sz w:val="32"/>
          <w:szCs w:val="32"/>
        </w:rPr>
        <w:t xml:space="preserve">第十九条 </w:t>
      </w:r>
      <w:r>
        <w:rPr>
          <w:rFonts w:hint="eastAsia" w:ascii="仿宋" w:hAnsi="仿宋" w:eastAsia="仿宋" w:cs="仿宋_GB2312"/>
          <w:color w:val="000000"/>
          <w:sz w:val="32"/>
          <w:szCs w:val="32"/>
        </w:rPr>
        <w:t>因私出国（境）的定义和申请：</w:t>
      </w:r>
      <w:r>
        <w:rPr>
          <w:rFonts w:hint="eastAsia" w:ascii="仿宋" w:hAnsi="仿宋" w:eastAsia="仿宋" w:cs="仿宋_GB2312"/>
          <w:sz w:val="32"/>
          <w:szCs w:val="32"/>
        </w:rPr>
        <w:t>以探亲、访友、旅游等为目的的出国（境）形式，定义为因私出国（境）。普通教职工因私出国（境）须向部门负责人提出申请，获得批准后向学校人事处办理请假手续；备案人员须向学校组织部提出申请，报批分管校领导同意后，向学校人事处办理请假手续。</w:t>
      </w:r>
    </w:p>
    <w:p>
      <w:pPr>
        <w:spacing w:line="360" w:lineRule="auto"/>
        <w:ind w:firstLine="480"/>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第二十条</w:t>
      </w:r>
      <w:r>
        <w:rPr>
          <w:rFonts w:hint="eastAsia" w:ascii="仿宋" w:hAnsi="仿宋" w:eastAsia="仿宋" w:cs="仿宋_GB2312"/>
          <w:color w:val="000000"/>
          <w:sz w:val="32"/>
          <w:szCs w:val="32"/>
        </w:rPr>
        <w:t xml:space="preserve"> 以上未尽事宜，按照上级有关规定执行。</w:t>
      </w:r>
    </w:p>
    <w:p>
      <w:pPr>
        <w:spacing w:line="499" w:lineRule="exact"/>
        <w:ind w:firstLine="480"/>
        <w:rPr>
          <w:rFonts w:hint="eastAsia" w:ascii="仿宋" w:hAnsi="仿宋" w:eastAsia="仿宋" w:cs="仿宋_GB2312"/>
          <w:color w:val="000000"/>
          <w:sz w:val="32"/>
          <w:szCs w:val="32"/>
        </w:rPr>
      </w:pPr>
    </w:p>
    <w:p>
      <w:pPr>
        <w:pStyle w:val="8"/>
        <w:widowControl/>
        <w:numPr>
          <w:ilvl w:val="0"/>
          <w:numId w:val="4"/>
        </w:numPr>
        <w:spacing w:line="360" w:lineRule="auto"/>
        <w:ind w:firstLineChars="0"/>
        <w:jc w:val="left"/>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附则</w:t>
      </w:r>
    </w:p>
    <w:p>
      <w:pPr>
        <w:spacing w:line="360" w:lineRule="auto"/>
        <w:ind w:firstLine="465"/>
        <w:rPr>
          <w:rFonts w:ascii="仿宋" w:hAnsi="仿宋" w:eastAsia="仿宋" w:cs="仿宋_GB2312"/>
          <w:color w:val="000000"/>
          <w:sz w:val="32"/>
          <w:szCs w:val="32"/>
        </w:rPr>
      </w:pPr>
      <w:r>
        <w:rPr>
          <w:rFonts w:hint="eastAsia" w:ascii="仿宋" w:hAnsi="仿宋" w:eastAsia="仿宋" w:cs="仿宋_GB2312"/>
          <w:b/>
          <w:color w:val="000000"/>
          <w:sz w:val="32"/>
          <w:szCs w:val="32"/>
        </w:rPr>
        <w:t xml:space="preserve">第二十一条  </w:t>
      </w:r>
      <w:r>
        <w:rPr>
          <w:rFonts w:hint="eastAsia" w:ascii="仿宋" w:hAnsi="仿宋" w:eastAsia="仿宋" w:cs="仿宋_GB2312"/>
          <w:color w:val="000000"/>
          <w:sz w:val="32"/>
          <w:szCs w:val="32"/>
        </w:rPr>
        <w:t>本规定</w:t>
      </w:r>
      <w:bookmarkStart w:id="0" w:name="_GoBack"/>
      <w:bookmarkEnd w:id="0"/>
      <w:r>
        <w:rPr>
          <w:rFonts w:hint="eastAsia" w:ascii="仿宋" w:hAnsi="仿宋" w:eastAsia="仿宋" w:cs="仿宋_GB2312"/>
          <w:color w:val="000000"/>
          <w:sz w:val="32"/>
          <w:szCs w:val="32"/>
        </w:rPr>
        <w:t>由学校国际交流与合作处/港澳台事务办公室负责解释。</w:t>
      </w:r>
    </w:p>
    <w:p>
      <w:pPr>
        <w:spacing w:line="360" w:lineRule="auto"/>
        <w:ind w:firstLine="465"/>
        <w:rPr>
          <w:rFonts w:hint="eastAsia" w:ascii="仿宋" w:hAnsi="仿宋" w:eastAsia="仿宋" w:cs="仿宋_GB2312"/>
          <w:color w:val="000000"/>
          <w:sz w:val="32"/>
          <w:szCs w:val="32"/>
        </w:rPr>
      </w:pPr>
      <w:r>
        <w:rPr>
          <w:rFonts w:hint="eastAsia" w:ascii="仿宋" w:hAnsi="仿宋" w:eastAsia="仿宋" w:cs="仿宋_GB2312"/>
          <w:b/>
          <w:color w:val="000000"/>
          <w:sz w:val="32"/>
          <w:szCs w:val="32"/>
        </w:rPr>
        <w:t xml:space="preserve">第二十二条 </w:t>
      </w:r>
      <w:r>
        <w:rPr>
          <w:rFonts w:hint="eastAsia" w:ascii="仿宋" w:hAnsi="仿宋" w:eastAsia="仿宋" w:cs="仿宋_GB2312"/>
          <w:color w:val="000000"/>
          <w:sz w:val="32"/>
          <w:szCs w:val="32"/>
        </w:rPr>
        <w:t xml:space="preserve"> 本规定自发布之日起施行。</w:t>
      </w:r>
    </w:p>
    <w:p>
      <w:pPr>
        <w:spacing w:line="499" w:lineRule="exact"/>
        <w:ind w:firstLine="465"/>
        <w:rPr>
          <w:rFonts w:hint="eastAsia" w:ascii="仿宋" w:hAnsi="仿宋" w:eastAsia="仿宋" w:cs="仿宋_GB2312"/>
          <w:color w:val="000000"/>
          <w:sz w:val="32"/>
          <w:szCs w:val="32"/>
        </w:rPr>
      </w:pPr>
    </w:p>
    <w:p>
      <w:pPr>
        <w:spacing w:line="499" w:lineRule="exact"/>
        <w:ind w:firstLine="465"/>
        <w:rPr>
          <w:rFonts w:hint="eastAsia" w:ascii="仿宋" w:hAnsi="仿宋" w:eastAsia="仿宋" w:cs="仿宋_GB2312"/>
          <w:color w:val="000000"/>
          <w:sz w:val="32"/>
          <w:szCs w:val="32"/>
        </w:rPr>
      </w:pPr>
    </w:p>
    <w:p>
      <w:pPr>
        <w:spacing w:line="499" w:lineRule="exact"/>
        <w:ind w:firstLine="465"/>
        <w:rPr>
          <w:rFonts w:hint="eastAsia" w:ascii="仿宋" w:hAnsi="仿宋" w:eastAsia="仿宋" w:cs="仿宋_GB2312"/>
          <w:color w:val="000000"/>
          <w:sz w:val="32"/>
          <w:szCs w:val="32"/>
        </w:rPr>
      </w:pPr>
    </w:p>
    <w:p>
      <w:pPr>
        <w:spacing w:line="499" w:lineRule="exact"/>
        <w:ind w:firstLine="465"/>
        <w:rPr>
          <w:rFonts w:hint="eastAsia" w:ascii="仿宋" w:hAnsi="仿宋" w:eastAsia="仿宋" w:cs="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CF2252"/>
    <w:multiLevelType w:val="multilevel"/>
    <w:tmpl w:val="B0CF2252"/>
    <w:lvl w:ilvl="0" w:tentative="0">
      <w:start w:val="1"/>
      <w:numFmt w:val="japaneseCounting"/>
      <w:lvlText w:val="（%1）"/>
      <w:lvlJc w:val="left"/>
      <w:pPr>
        <w:tabs>
          <w:tab w:val="left" w:pos="0"/>
        </w:tabs>
        <w:ind w:left="1185" w:hanging="720"/>
      </w:pPr>
      <w:rPr>
        <w:rFonts w:hint="default" w:ascii="Times New Roman" w:hAnsi="Times New Roman" w:cs="Times New Roman"/>
      </w:rPr>
    </w:lvl>
    <w:lvl w:ilvl="1" w:tentative="0">
      <w:start w:val="1"/>
      <w:numFmt w:val="lowerLetter"/>
      <w:lvlText w:val="%2)"/>
      <w:lvlJc w:val="left"/>
      <w:pPr>
        <w:tabs>
          <w:tab w:val="left" w:pos="0"/>
        </w:tabs>
        <w:ind w:left="1305" w:hanging="420"/>
      </w:pPr>
      <w:rPr>
        <w:rFonts w:hint="default" w:ascii="Times New Roman" w:hAnsi="Times New Roman" w:cs="Times New Roman"/>
      </w:rPr>
    </w:lvl>
    <w:lvl w:ilvl="2" w:tentative="0">
      <w:start w:val="1"/>
      <w:numFmt w:val="lowerRoman"/>
      <w:lvlText w:val="%3."/>
      <w:lvlJc w:val="right"/>
      <w:pPr>
        <w:tabs>
          <w:tab w:val="left" w:pos="0"/>
        </w:tabs>
        <w:ind w:left="1725" w:hanging="420"/>
      </w:pPr>
      <w:rPr>
        <w:rFonts w:hint="default" w:ascii="Times New Roman" w:hAnsi="Times New Roman" w:cs="Times New Roman"/>
      </w:rPr>
    </w:lvl>
    <w:lvl w:ilvl="3" w:tentative="0">
      <w:start w:val="1"/>
      <w:numFmt w:val="decimal"/>
      <w:lvlText w:val="%4."/>
      <w:lvlJc w:val="left"/>
      <w:pPr>
        <w:tabs>
          <w:tab w:val="left" w:pos="0"/>
        </w:tabs>
        <w:ind w:left="2145" w:hanging="420"/>
      </w:pPr>
      <w:rPr>
        <w:rFonts w:hint="default" w:ascii="Times New Roman" w:hAnsi="Times New Roman" w:cs="Times New Roman"/>
      </w:rPr>
    </w:lvl>
    <w:lvl w:ilvl="4" w:tentative="0">
      <w:start w:val="1"/>
      <w:numFmt w:val="lowerLetter"/>
      <w:lvlText w:val="%5)"/>
      <w:lvlJc w:val="left"/>
      <w:pPr>
        <w:tabs>
          <w:tab w:val="left" w:pos="0"/>
        </w:tabs>
        <w:ind w:left="2565" w:hanging="420"/>
      </w:pPr>
      <w:rPr>
        <w:rFonts w:hint="default" w:ascii="Times New Roman" w:hAnsi="Times New Roman" w:cs="Times New Roman"/>
      </w:rPr>
    </w:lvl>
    <w:lvl w:ilvl="5" w:tentative="0">
      <w:start w:val="1"/>
      <w:numFmt w:val="lowerRoman"/>
      <w:lvlText w:val="%6."/>
      <w:lvlJc w:val="right"/>
      <w:pPr>
        <w:tabs>
          <w:tab w:val="left" w:pos="0"/>
        </w:tabs>
        <w:ind w:left="2985" w:hanging="420"/>
      </w:pPr>
      <w:rPr>
        <w:rFonts w:hint="default" w:ascii="Times New Roman" w:hAnsi="Times New Roman" w:cs="Times New Roman"/>
      </w:rPr>
    </w:lvl>
    <w:lvl w:ilvl="6" w:tentative="0">
      <w:start w:val="1"/>
      <w:numFmt w:val="decimal"/>
      <w:lvlText w:val="%7."/>
      <w:lvlJc w:val="left"/>
      <w:pPr>
        <w:tabs>
          <w:tab w:val="left" w:pos="0"/>
        </w:tabs>
        <w:ind w:left="3405" w:hanging="420"/>
      </w:pPr>
      <w:rPr>
        <w:rFonts w:hint="default" w:ascii="Times New Roman" w:hAnsi="Times New Roman" w:cs="Times New Roman"/>
      </w:rPr>
    </w:lvl>
    <w:lvl w:ilvl="7" w:tentative="0">
      <w:start w:val="1"/>
      <w:numFmt w:val="lowerLetter"/>
      <w:lvlText w:val="%8)"/>
      <w:lvlJc w:val="left"/>
      <w:pPr>
        <w:tabs>
          <w:tab w:val="left" w:pos="0"/>
        </w:tabs>
        <w:ind w:left="3825" w:hanging="420"/>
      </w:pPr>
      <w:rPr>
        <w:rFonts w:hint="default" w:ascii="Times New Roman" w:hAnsi="Times New Roman" w:cs="Times New Roman"/>
      </w:rPr>
    </w:lvl>
    <w:lvl w:ilvl="8" w:tentative="0">
      <w:start w:val="1"/>
      <w:numFmt w:val="lowerRoman"/>
      <w:lvlText w:val="%9."/>
      <w:lvlJc w:val="right"/>
      <w:pPr>
        <w:tabs>
          <w:tab w:val="left" w:pos="0"/>
        </w:tabs>
        <w:ind w:left="4245" w:hanging="420"/>
      </w:pPr>
      <w:rPr>
        <w:rFonts w:hint="default" w:ascii="Times New Roman" w:hAnsi="Times New Roman" w:cs="Times New Roman"/>
      </w:rPr>
    </w:lvl>
  </w:abstractNum>
  <w:abstractNum w:abstractNumId="1">
    <w:nsid w:val="F9ED358F"/>
    <w:multiLevelType w:val="multilevel"/>
    <w:tmpl w:val="F9ED358F"/>
    <w:lvl w:ilvl="0" w:tentative="0">
      <w:start w:val="1"/>
      <w:numFmt w:val="japaneseCounting"/>
      <w:lvlText w:val="第%1条"/>
      <w:lvlJc w:val="left"/>
      <w:pPr>
        <w:tabs>
          <w:tab w:val="left" w:pos="0"/>
        </w:tabs>
        <w:ind w:left="1185" w:hanging="720"/>
      </w:pPr>
      <w:rPr>
        <w:rFonts w:hint="default" w:ascii="Times New Roman" w:hAnsi="Times New Roman" w:cs="Times New Roman"/>
        <w:b/>
        <w:bCs/>
      </w:rPr>
    </w:lvl>
    <w:lvl w:ilvl="1" w:tentative="0">
      <w:start w:val="1"/>
      <w:numFmt w:val="lowerLetter"/>
      <w:lvlText w:val="%2)"/>
      <w:lvlJc w:val="left"/>
      <w:pPr>
        <w:tabs>
          <w:tab w:val="left" w:pos="0"/>
        </w:tabs>
        <w:ind w:left="1305" w:hanging="420"/>
      </w:pPr>
      <w:rPr>
        <w:rFonts w:hint="default" w:ascii="Times New Roman" w:hAnsi="Times New Roman" w:cs="Times New Roman"/>
      </w:rPr>
    </w:lvl>
    <w:lvl w:ilvl="2" w:tentative="0">
      <w:start w:val="1"/>
      <w:numFmt w:val="lowerRoman"/>
      <w:lvlText w:val="%3."/>
      <w:lvlJc w:val="right"/>
      <w:pPr>
        <w:tabs>
          <w:tab w:val="left" w:pos="0"/>
        </w:tabs>
        <w:ind w:left="1725" w:hanging="420"/>
      </w:pPr>
      <w:rPr>
        <w:rFonts w:hint="default" w:ascii="Times New Roman" w:hAnsi="Times New Roman" w:cs="Times New Roman"/>
      </w:rPr>
    </w:lvl>
    <w:lvl w:ilvl="3" w:tentative="0">
      <w:start w:val="1"/>
      <w:numFmt w:val="decimal"/>
      <w:lvlText w:val="%4."/>
      <w:lvlJc w:val="left"/>
      <w:pPr>
        <w:tabs>
          <w:tab w:val="left" w:pos="0"/>
        </w:tabs>
        <w:ind w:left="2145" w:hanging="420"/>
      </w:pPr>
      <w:rPr>
        <w:rFonts w:hint="default" w:ascii="Times New Roman" w:hAnsi="Times New Roman" w:cs="Times New Roman"/>
      </w:rPr>
    </w:lvl>
    <w:lvl w:ilvl="4" w:tentative="0">
      <w:start w:val="1"/>
      <w:numFmt w:val="lowerLetter"/>
      <w:lvlText w:val="%5)"/>
      <w:lvlJc w:val="left"/>
      <w:pPr>
        <w:tabs>
          <w:tab w:val="left" w:pos="0"/>
        </w:tabs>
        <w:ind w:left="2565" w:hanging="420"/>
      </w:pPr>
      <w:rPr>
        <w:rFonts w:hint="default" w:ascii="Times New Roman" w:hAnsi="Times New Roman" w:cs="Times New Roman"/>
      </w:rPr>
    </w:lvl>
    <w:lvl w:ilvl="5" w:tentative="0">
      <w:start w:val="1"/>
      <w:numFmt w:val="lowerRoman"/>
      <w:lvlText w:val="%6."/>
      <w:lvlJc w:val="right"/>
      <w:pPr>
        <w:tabs>
          <w:tab w:val="left" w:pos="0"/>
        </w:tabs>
        <w:ind w:left="2985" w:hanging="420"/>
      </w:pPr>
      <w:rPr>
        <w:rFonts w:hint="default" w:ascii="Times New Roman" w:hAnsi="Times New Roman" w:cs="Times New Roman"/>
      </w:rPr>
    </w:lvl>
    <w:lvl w:ilvl="6" w:tentative="0">
      <w:start w:val="1"/>
      <w:numFmt w:val="decimal"/>
      <w:lvlText w:val="%7."/>
      <w:lvlJc w:val="left"/>
      <w:pPr>
        <w:tabs>
          <w:tab w:val="left" w:pos="0"/>
        </w:tabs>
        <w:ind w:left="3405" w:hanging="420"/>
      </w:pPr>
      <w:rPr>
        <w:rFonts w:hint="default" w:ascii="Times New Roman" w:hAnsi="Times New Roman" w:cs="Times New Roman"/>
      </w:rPr>
    </w:lvl>
    <w:lvl w:ilvl="7" w:tentative="0">
      <w:start w:val="1"/>
      <w:numFmt w:val="lowerLetter"/>
      <w:lvlText w:val="%8)"/>
      <w:lvlJc w:val="left"/>
      <w:pPr>
        <w:tabs>
          <w:tab w:val="left" w:pos="0"/>
        </w:tabs>
        <w:ind w:left="3825" w:hanging="420"/>
      </w:pPr>
      <w:rPr>
        <w:rFonts w:hint="default" w:ascii="Times New Roman" w:hAnsi="Times New Roman" w:cs="Times New Roman"/>
      </w:rPr>
    </w:lvl>
    <w:lvl w:ilvl="8" w:tentative="0">
      <w:start w:val="1"/>
      <w:numFmt w:val="lowerRoman"/>
      <w:lvlText w:val="%9."/>
      <w:lvlJc w:val="right"/>
      <w:pPr>
        <w:tabs>
          <w:tab w:val="left" w:pos="0"/>
        </w:tabs>
        <w:ind w:left="4245" w:hanging="420"/>
      </w:pPr>
      <w:rPr>
        <w:rFonts w:hint="default" w:ascii="Times New Roman" w:hAnsi="Times New Roman" w:cs="Times New Roman"/>
      </w:rPr>
    </w:lvl>
  </w:abstractNum>
  <w:abstractNum w:abstractNumId="2">
    <w:nsid w:val="224CCBE4"/>
    <w:multiLevelType w:val="multilevel"/>
    <w:tmpl w:val="224CCBE4"/>
    <w:lvl w:ilvl="0" w:tentative="0">
      <w:start w:val="1"/>
      <w:numFmt w:val="japaneseCounting"/>
      <w:lvlText w:val="第%1章"/>
      <w:lvlJc w:val="left"/>
      <w:pPr>
        <w:tabs>
          <w:tab w:val="left" w:pos="0"/>
        </w:tabs>
        <w:ind w:left="2880" w:hanging="1080"/>
      </w:pPr>
      <w:rPr>
        <w:rFonts w:hint="default" w:ascii="Times New Roman" w:hAnsi="Times New Roman" w:cs="Times New Roman"/>
      </w:rPr>
    </w:lvl>
    <w:lvl w:ilvl="1" w:tentative="0">
      <w:start w:val="1"/>
      <w:numFmt w:val="lowerLetter"/>
      <w:lvlText w:val="%2)"/>
      <w:lvlJc w:val="left"/>
      <w:pPr>
        <w:tabs>
          <w:tab w:val="left" w:pos="0"/>
        </w:tabs>
        <w:ind w:left="2640" w:hanging="420"/>
      </w:pPr>
      <w:rPr>
        <w:rFonts w:hint="default" w:ascii="Times New Roman" w:hAnsi="Times New Roman" w:cs="Times New Roman"/>
      </w:rPr>
    </w:lvl>
    <w:lvl w:ilvl="2" w:tentative="0">
      <w:start w:val="1"/>
      <w:numFmt w:val="lowerRoman"/>
      <w:lvlText w:val="%3."/>
      <w:lvlJc w:val="right"/>
      <w:pPr>
        <w:tabs>
          <w:tab w:val="left" w:pos="0"/>
        </w:tabs>
        <w:ind w:left="3060" w:hanging="420"/>
      </w:pPr>
      <w:rPr>
        <w:rFonts w:hint="default" w:ascii="Times New Roman" w:hAnsi="Times New Roman" w:cs="Times New Roman"/>
      </w:rPr>
    </w:lvl>
    <w:lvl w:ilvl="3" w:tentative="0">
      <w:start w:val="1"/>
      <w:numFmt w:val="decimal"/>
      <w:lvlText w:val="%4."/>
      <w:lvlJc w:val="left"/>
      <w:pPr>
        <w:tabs>
          <w:tab w:val="left" w:pos="0"/>
        </w:tabs>
        <w:ind w:left="3480" w:hanging="420"/>
      </w:pPr>
      <w:rPr>
        <w:rFonts w:hint="default" w:ascii="Times New Roman" w:hAnsi="Times New Roman" w:cs="Times New Roman"/>
      </w:rPr>
    </w:lvl>
    <w:lvl w:ilvl="4" w:tentative="0">
      <w:start w:val="1"/>
      <w:numFmt w:val="lowerLetter"/>
      <w:lvlText w:val="%5)"/>
      <w:lvlJc w:val="left"/>
      <w:pPr>
        <w:tabs>
          <w:tab w:val="left" w:pos="0"/>
        </w:tabs>
        <w:ind w:left="3900" w:hanging="420"/>
      </w:pPr>
      <w:rPr>
        <w:rFonts w:hint="default" w:ascii="Times New Roman" w:hAnsi="Times New Roman" w:cs="Times New Roman"/>
      </w:rPr>
    </w:lvl>
    <w:lvl w:ilvl="5" w:tentative="0">
      <w:start w:val="1"/>
      <w:numFmt w:val="lowerRoman"/>
      <w:lvlText w:val="%6."/>
      <w:lvlJc w:val="right"/>
      <w:pPr>
        <w:tabs>
          <w:tab w:val="left" w:pos="0"/>
        </w:tabs>
        <w:ind w:left="4320" w:hanging="420"/>
      </w:pPr>
      <w:rPr>
        <w:rFonts w:hint="default" w:ascii="Times New Roman" w:hAnsi="Times New Roman" w:cs="Times New Roman"/>
      </w:rPr>
    </w:lvl>
    <w:lvl w:ilvl="6" w:tentative="0">
      <w:start w:val="1"/>
      <w:numFmt w:val="decimal"/>
      <w:lvlText w:val="%7."/>
      <w:lvlJc w:val="left"/>
      <w:pPr>
        <w:tabs>
          <w:tab w:val="left" w:pos="0"/>
        </w:tabs>
        <w:ind w:left="4740" w:hanging="420"/>
      </w:pPr>
      <w:rPr>
        <w:rFonts w:hint="default" w:ascii="Times New Roman" w:hAnsi="Times New Roman" w:cs="Times New Roman"/>
      </w:rPr>
    </w:lvl>
    <w:lvl w:ilvl="7" w:tentative="0">
      <w:start w:val="1"/>
      <w:numFmt w:val="lowerLetter"/>
      <w:lvlText w:val="%8)"/>
      <w:lvlJc w:val="left"/>
      <w:pPr>
        <w:tabs>
          <w:tab w:val="left" w:pos="0"/>
        </w:tabs>
        <w:ind w:left="5160" w:hanging="420"/>
      </w:pPr>
      <w:rPr>
        <w:rFonts w:hint="default" w:ascii="Times New Roman" w:hAnsi="Times New Roman" w:cs="Times New Roman"/>
      </w:rPr>
    </w:lvl>
    <w:lvl w:ilvl="8" w:tentative="0">
      <w:start w:val="1"/>
      <w:numFmt w:val="lowerRoman"/>
      <w:lvlText w:val="%9."/>
      <w:lvlJc w:val="right"/>
      <w:pPr>
        <w:tabs>
          <w:tab w:val="left" w:pos="0"/>
        </w:tabs>
        <w:ind w:left="5580" w:hanging="420"/>
      </w:pPr>
      <w:rPr>
        <w:rFonts w:hint="default" w:ascii="Times New Roman" w:hAnsi="Times New Roman" w:cs="Times New Roman"/>
      </w:rPr>
    </w:lvl>
  </w:abstractNum>
  <w:abstractNum w:abstractNumId="3">
    <w:nsid w:val="48F46E64"/>
    <w:multiLevelType w:val="multilevel"/>
    <w:tmpl w:val="48F46E64"/>
    <w:lvl w:ilvl="0" w:tentative="0">
      <w:start w:val="5"/>
      <w:numFmt w:val="japaneseCounting"/>
      <w:lvlText w:val="第%1章"/>
      <w:lvlJc w:val="left"/>
      <w:pPr>
        <w:ind w:left="2365" w:hanging="1080"/>
      </w:pPr>
      <w:rPr>
        <w:rFonts w:hint="default"/>
      </w:rPr>
    </w:lvl>
    <w:lvl w:ilvl="1" w:tentative="0">
      <w:start w:val="1"/>
      <w:numFmt w:val="lowerLetter"/>
      <w:lvlText w:val="%2)"/>
      <w:lvlJc w:val="left"/>
      <w:pPr>
        <w:ind w:left="2125" w:hanging="420"/>
      </w:pPr>
    </w:lvl>
    <w:lvl w:ilvl="2" w:tentative="0">
      <w:start w:val="1"/>
      <w:numFmt w:val="lowerRoman"/>
      <w:lvlText w:val="%3."/>
      <w:lvlJc w:val="right"/>
      <w:pPr>
        <w:ind w:left="2545" w:hanging="420"/>
      </w:pPr>
    </w:lvl>
    <w:lvl w:ilvl="3" w:tentative="0">
      <w:start w:val="1"/>
      <w:numFmt w:val="decimal"/>
      <w:lvlText w:val="%4."/>
      <w:lvlJc w:val="left"/>
      <w:pPr>
        <w:ind w:left="2965" w:hanging="420"/>
      </w:pPr>
    </w:lvl>
    <w:lvl w:ilvl="4" w:tentative="0">
      <w:start w:val="1"/>
      <w:numFmt w:val="lowerLetter"/>
      <w:lvlText w:val="%5)"/>
      <w:lvlJc w:val="left"/>
      <w:pPr>
        <w:ind w:left="3385" w:hanging="420"/>
      </w:pPr>
    </w:lvl>
    <w:lvl w:ilvl="5" w:tentative="0">
      <w:start w:val="1"/>
      <w:numFmt w:val="lowerRoman"/>
      <w:lvlText w:val="%6."/>
      <w:lvlJc w:val="right"/>
      <w:pPr>
        <w:ind w:left="3805" w:hanging="420"/>
      </w:pPr>
    </w:lvl>
    <w:lvl w:ilvl="6" w:tentative="0">
      <w:start w:val="1"/>
      <w:numFmt w:val="decimal"/>
      <w:lvlText w:val="%7."/>
      <w:lvlJc w:val="left"/>
      <w:pPr>
        <w:ind w:left="4225" w:hanging="420"/>
      </w:pPr>
    </w:lvl>
    <w:lvl w:ilvl="7" w:tentative="0">
      <w:start w:val="1"/>
      <w:numFmt w:val="lowerLetter"/>
      <w:lvlText w:val="%8)"/>
      <w:lvlJc w:val="left"/>
      <w:pPr>
        <w:ind w:left="4645" w:hanging="420"/>
      </w:pPr>
    </w:lvl>
    <w:lvl w:ilvl="8" w:tentative="0">
      <w:start w:val="1"/>
      <w:numFmt w:val="lowerRoman"/>
      <w:lvlText w:val="%9."/>
      <w:lvlJc w:val="right"/>
      <w:pPr>
        <w:ind w:left="506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49E3"/>
    <w:rsid w:val="001649E3"/>
    <w:rsid w:val="002C3390"/>
    <w:rsid w:val="00E12565"/>
    <w:rsid w:val="68A5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 w:type="paragraph" w:customStyle="1" w:styleId="8">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5</Pages>
  <Words>312</Words>
  <Characters>1784</Characters>
  <Lines>14</Lines>
  <Paragraphs>4</Paragraphs>
  <TotalTime>6</TotalTime>
  <ScaleCrop>false</ScaleCrop>
  <LinksUpToDate>false</LinksUpToDate>
  <CharactersWithSpaces>2092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2019-03-21T07:28:00Z</dcterms:created>
  <dc:creator>蔡秋华</dc:creator>
  <cp:lastModifiedBy>$10</cp:lastModifiedBy>
  <dcterms:modified xsi:type="dcterms:W3CDTF">2019-03-28T02:50:36Z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